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AACCC" w14:textId="3069C361" w:rsidR="006E4BB1" w:rsidRPr="00D56893" w:rsidRDefault="00FE6F02" w:rsidP="006E4BB1">
      <w:pPr>
        <w:spacing w:before="120" w:after="120" w:line="240" w:lineRule="auto"/>
        <w:rPr>
          <w:rFonts w:cs="Segoe UI"/>
        </w:rPr>
      </w:pPr>
      <w:bookmarkStart w:id="0" w:name="_GoBack"/>
      <w:bookmarkEnd w:id="0"/>
      <w:r w:rsidRPr="00316270">
        <w:rPr>
          <w:rFonts w:cs="Segoe UI"/>
          <w:b/>
        </w:rPr>
        <w:t>Příloha č. 1</w:t>
      </w:r>
      <w:r w:rsidRPr="00316270">
        <w:rPr>
          <w:rFonts w:cs="Segoe UI"/>
        </w:rPr>
        <w:t xml:space="preserve"> k Výzvě č. 1/2022 PU</w:t>
      </w:r>
      <w:r w:rsidR="006E4BB1">
        <w:rPr>
          <w:rFonts w:cs="Segoe UI"/>
        </w:rPr>
        <w:t xml:space="preserve"> </w:t>
      </w:r>
      <w:r w:rsidRPr="00316270">
        <w:rPr>
          <w:rFonts w:cs="Segoe UI"/>
        </w:rPr>
        <w:t xml:space="preserve">Ministerstva životního prostředí </w:t>
      </w:r>
      <w:r w:rsidR="006E4BB1" w:rsidRPr="00BD64DA">
        <w:rPr>
          <w:rFonts w:cs="Segoe UI"/>
        </w:rPr>
        <w:t>pro předkládání žádostí o poskytnutí podpory ve formě zápůjčky</w:t>
      </w:r>
      <w:r w:rsidR="006E4BB1">
        <w:rPr>
          <w:rFonts w:cs="Segoe UI"/>
        </w:rPr>
        <w:t xml:space="preserve"> a případné dodatkové dotace</w:t>
      </w:r>
      <w:r w:rsidR="006E4BB1" w:rsidRPr="00BD64DA">
        <w:rPr>
          <w:rFonts w:cs="Segoe UI"/>
        </w:rPr>
        <w:t xml:space="preserve"> dle směrnic MŽP č. 8/2017 o poskytování finanční podpory ze SFŽP</w:t>
      </w:r>
      <w:r w:rsidR="006E4BB1">
        <w:rPr>
          <w:rFonts w:cs="Segoe UI"/>
        </w:rPr>
        <w:t xml:space="preserve"> ČR</w:t>
      </w:r>
      <w:r w:rsidR="006E4BB1" w:rsidRPr="00BD64DA">
        <w:rPr>
          <w:rFonts w:cs="Segoe UI"/>
        </w:rPr>
        <w:t xml:space="preserve"> </w:t>
      </w:r>
      <w:r w:rsidR="006E4BB1">
        <w:rPr>
          <w:rFonts w:cs="Segoe UI"/>
        </w:rPr>
        <w:t>a</w:t>
      </w:r>
      <w:r w:rsidR="00725223">
        <w:rPr>
          <w:rFonts w:cs="Segoe UI"/>
        </w:rPr>
        <w:t> </w:t>
      </w:r>
      <w:r w:rsidR="006E4BB1" w:rsidRPr="00A644C6">
        <w:rPr>
          <w:rFonts w:cs="Segoe UI"/>
        </w:rPr>
        <w:t>směrnice MŽP č. 4/2015 o poskytování finančních</w:t>
      </w:r>
      <w:r w:rsidR="006E4BB1">
        <w:rPr>
          <w:rFonts w:cs="Segoe UI"/>
        </w:rPr>
        <w:t xml:space="preserve"> </w:t>
      </w:r>
      <w:r w:rsidR="006E4BB1" w:rsidRPr="00A644C6">
        <w:rPr>
          <w:rFonts w:cs="Segoe UI"/>
        </w:rPr>
        <w:t xml:space="preserve">prostředků ze </w:t>
      </w:r>
      <w:r w:rsidR="006E4BB1" w:rsidRPr="00BD64DA">
        <w:rPr>
          <w:rFonts w:cs="Segoe UI"/>
        </w:rPr>
        <w:t>SFŽP</w:t>
      </w:r>
      <w:r w:rsidR="006E4BB1">
        <w:rPr>
          <w:rFonts w:cs="Segoe UI"/>
        </w:rPr>
        <w:t xml:space="preserve"> ČR</w:t>
      </w:r>
      <w:r w:rsidR="006E4BB1" w:rsidRPr="00A644C6">
        <w:rPr>
          <w:rFonts w:cs="Segoe UI"/>
        </w:rPr>
        <w:t xml:space="preserve"> prostřednictvím Národního programu</w:t>
      </w:r>
      <w:r w:rsidR="006E4BB1" w:rsidRPr="00A644C6">
        <w:rPr>
          <w:rFonts w:cs="Segoe UI"/>
        </w:rPr>
        <w:br/>
        <w:t>Životní prostředí</w:t>
      </w:r>
      <w:r w:rsidR="006E4BB1">
        <w:rPr>
          <w:rFonts w:cs="Segoe UI"/>
        </w:rPr>
        <w:t>.</w:t>
      </w:r>
    </w:p>
    <w:p w14:paraId="0B75D29A" w14:textId="4B93C5B5" w:rsidR="008B0CF8" w:rsidRDefault="008B0CF8" w:rsidP="006E4BB1">
      <w:pPr>
        <w:spacing w:before="120" w:after="120" w:line="240" w:lineRule="auto"/>
        <w:rPr>
          <w:rFonts w:cs="Segoe UI"/>
          <w:b/>
          <w:sz w:val="28"/>
          <w:szCs w:val="28"/>
        </w:rPr>
      </w:pPr>
    </w:p>
    <w:p w14:paraId="0F5C2952" w14:textId="0A8AD764" w:rsidR="00232C7D" w:rsidRPr="00316270" w:rsidRDefault="00E07723" w:rsidP="00F70B8C">
      <w:pPr>
        <w:spacing w:before="120" w:after="120" w:line="240" w:lineRule="auto"/>
        <w:jc w:val="center"/>
        <w:rPr>
          <w:rFonts w:cs="Segoe UI"/>
          <w:b/>
          <w:sz w:val="28"/>
          <w:szCs w:val="28"/>
        </w:rPr>
      </w:pPr>
      <w:r w:rsidRPr="00316270">
        <w:rPr>
          <w:rFonts w:cs="Segoe UI"/>
          <w:b/>
          <w:sz w:val="28"/>
          <w:szCs w:val="28"/>
        </w:rPr>
        <w:t xml:space="preserve">Kritéria vyhodnocení úvěrové způsobilosti žadatelů </w:t>
      </w:r>
      <w:r w:rsidR="00956E40" w:rsidRPr="00316270">
        <w:rPr>
          <w:rFonts w:cs="Segoe UI"/>
          <w:b/>
          <w:sz w:val="28"/>
          <w:szCs w:val="28"/>
        </w:rPr>
        <w:br/>
      </w:r>
      <w:r w:rsidRPr="00316270">
        <w:rPr>
          <w:rFonts w:cs="Segoe UI"/>
          <w:b/>
          <w:sz w:val="28"/>
          <w:szCs w:val="28"/>
        </w:rPr>
        <w:t>o půjčku ze SFŽP</w:t>
      </w:r>
    </w:p>
    <w:p w14:paraId="4014958B" w14:textId="77777777" w:rsidR="0064242E" w:rsidRPr="00316270" w:rsidRDefault="0064242E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4C51E258" w14:textId="5C69B083" w:rsidR="00E07723" w:rsidRPr="006E4BB1" w:rsidRDefault="00B428BB" w:rsidP="006E4BB1">
      <w:pPr>
        <w:pStyle w:val="Odstavecseseznamem"/>
        <w:spacing w:before="120" w:after="120" w:line="240" w:lineRule="auto"/>
        <w:rPr>
          <w:rFonts w:cs="Segoe UI"/>
        </w:rPr>
      </w:pPr>
      <w:r w:rsidRPr="006E4BB1">
        <w:rPr>
          <w:rFonts w:cs="Segoe UI"/>
          <w:b/>
          <w:u w:val="single"/>
        </w:rPr>
        <w:t xml:space="preserve">Ukazatele hodnocení úvěrové způsobilosti </w:t>
      </w:r>
      <w:r w:rsidR="005932A8" w:rsidRPr="006E4BB1">
        <w:rPr>
          <w:rFonts w:cs="Segoe UI"/>
          <w:b/>
          <w:u w:val="single"/>
        </w:rPr>
        <w:t>pro</w:t>
      </w:r>
      <w:r w:rsidRPr="006E4BB1">
        <w:rPr>
          <w:rFonts w:cs="Segoe UI"/>
          <w:b/>
          <w:u w:val="single"/>
        </w:rPr>
        <w:t xml:space="preserve"> </w:t>
      </w:r>
      <w:r w:rsidR="00FF403B" w:rsidRPr="006E4BB1">
        <w:rPr>
          <w:rFonts w:cs="Segoe UI"/>
          <w:b/>
          <w:u w:val="single"/>
        </w:rPr>
        <w:t>obce</w:t>
      </w:r>
    </w:p>
    <w:tbl>
      <w:tblPr>
        <w:tblW w:w="8799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5832"/>
      </w:tblGrid>
      <w:tr w:rsidR="00B428BB" w:rsidRPr="00316270" w14:paraId="01356AFC" w14:textId="77777777" w:rsidTr="006E4BB1">
        <w:trPr>
          <w:trHeight w:val="635"/>
          <w:jc w:val="center"/>
        </w:trPr>
        <w:tc>
          <w:tcPr>
            <w:tcW w:w="2967" w:type="dxa"/>
            <w:shd w:val="clear" w:color="auto" w:fill="365F91" w:themeFill="accent1" w:themeFillShade="BF"/>
            <w:vAlign w:val="center"/>
            <w:hideMark/>
          </w:tcPr>
          <w:p w14:paraId="7C65151E" w14:textId="77777777" w:rsidR="00B428BB" w:rsidRPr="00316270" w:rsidRDefault="00292052" w:rsidP="00F70B8C">
            <w:pPr>
              <w:spacing w:before="120" w:after="120" w:line="240" w:lineRule="auto"/>
              <w:jc w:val="center"/>
              <w:rPr>
                <w:rFonts w:cs="Segoe UI"/>
                <w:b/>
                <w:color w:val="000000"/>
              </w:rPr>
            </w:pPr>
            <w:r w:rsidRPr="00316270">
              <w:rPr>
                <w:rFonts w:cs="Segoe UI"/>
                <w:b/>
                <w:color w:val="000000"/>
              </w:rPr>
              <w:t>Ukazatel</w:t>
            </w:r>
          </w:p>
        </w:tc>
        <w:tc>
          <w:tcPr>
            <w:tcW w:w="5832" w:type="dxa"/>
            <w:shd w:val="clear" w:color="auto" w:fill="365F91" w:themeFill="accent1" w:themeFillShade="BF"/>
            <w:vAlign w:val="center"/>
            <w:hideMark/>
          </w:tcPr>
          <w:p w14:paraId="4CE82738" w14:textId="77777777" w:rsidR="00B428BB" w:rsidRPr="00316270" w:rsidRDefault="00292052" w:rsidP="00F70B8C">
            <w:pPr>
              <w:spacing w:before="120" w:after="120" w:line="240" w:lineRule="auto"/>
              <w:jc w:val="center"/>
              <w:rPr>
                <w:rFonts w:cs="Segoe UI"/>
                <w:b/>
                <w:color w:val="000000"/>
              </w:rPr>
            </w:pPr>
            <w:r w:rsidRPr="00316270">
              <w:rPr>
                <w:rFonts w:cs="Segoe UI"/>
                <w:b/>
                <w:color w:val="000000"/>
              </w:rPr>
              <w:t>Vzorec výpočtu</w:t>
            </w:r>
          </w:p>
        </w:tc>
      </w:tr>
      <w:tr w:rsidR="00B428BB" w:rsidRPr="00316270" w14:paraId="4B4991FF" w14:textId="77777777" w:rsidTr="006E4BB1">
        <w:trPr>
          <w:trHeight w:val="506"/>
          <w:jc w:val="center"/>
        </w:trPr>
        <w:tc>
          <w:tcPr>
            <w:tcW w:w="2967" w:type="dxa"/>
            <w:vMerge w:val="restart"/>
            <w:shd w:val="clear" w:color="auto" w:fill="95B3D7" w:themeFill="accent1" w:themeFillTint="99"/>
            <w:vAlign w:val="center"/>
            <w:hideMark/>
          </w:tcPr>
          <w:p w14:paraId="7955FEA4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S/P</w:t>
            </w:r>
          </w:p>
        </w:tc>
        <w:tc>
          <w:tcPr>
            <w:tcW w:w="5832" w:type="dxa"/>
            <w:vMerge w:val="restart"/>
            <w:shd w:val="clear" w:color="auto" w:fill="95B3D7" w:themeFill="accent1" w:themeFillTint="99"/>
            <w:vAlign w:val="center"/>
            <w:hideMark/>
          </w:tcPr>
          <w:p w14:paraId="7316C327" w14:textId="77777777" w:rsidR="00B428BB" w:rsidRPr="00316270" w:rsidRDefault="00232C7D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 xml:space="preserve">Maximální roční úhrn splátek všech úvěrů </w:t>
            </w:r>
            <w:r w:rsidR="00292052" w:rsidRPr="00316270">
              <w:rPr>
                <w:rFonts w:cs="Segoe UI"/>
                <w:color w:val="000000"/>
              </w:rPr>
              <w:t xml:space="preserve">včetně půjčky SFŽP </w:t>
            </w:r>
            <w:r w:rsidRPr="00316270">
              <w:rPr>
                <w:rFonts w:cs="Segoe UI"/>
                <w:color w:val="000000"/>
              </w:rPr>
              <w:t>v době splácení pů</w:t>
            </w:r>
            <w:r w:rsidR="005116EB" w:rsidRPr="00316270">
              <w:rPr>
                <w:rFonts w:cs="Segoe UI"/>
                <w:color w:val="000000"/>
              </w:rPr>
              <w:t>j</w:t>
            </w:r>
            <w:r w:rsidRPr="00316270">
              <w:rPr>
                <w:rFonts w:cs="Segoe UI"/>
                <w:color w:val="000000"/>
              </w:rPr>
              <w:t>čky SFŽP / (Daňové příjmy+1/2 Nedaňové příjmy)</w:t>
            </w:r>
          </w:p>
        </w:tc>
      </w:tr>
      <w:tr w:rsidR="00B428BB" w:rsidRPr="00316270" w14:paraId="40587ADD" w14:textId="77777777" w:rsidTr="006E4BB1">
        <w:trPr>
          <w:trHeight w:val="506"/>
          <w:jc w:val="center"/>
        </w:trPr>
        <w:tc>
          <w:tcPr>
            <w:tcW w:w="2967" w:type="dxa"/>
            <w:vMerge/>
            <w:shd w:val="clear" w:color="auto" w:fill="95B3D7" w:themeFill="accent1" w:themeFillTint="99"/>
            <w:vAlign w:val="center"/>
            <w:hideMark/>
          </w:tcPr>
          <w:p w14:paraId="6072D3F4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  <w:tc>
          <w:tcPr>
            <w:tcW w:w="5832" w:type="dxa"/>
            <w:vMerge/>
            <w:shd w:val="clear" w:color="auto" w:fill="95B3D7" w:themeFill="accent1" w:themeFillTint="99"/>
            <w:vAlign w:val="center"/>
            <w:hideMark/>
          </w:tcPr>
          <w:p w14:paraId="303A1C32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  <w:tr w:rsidR="00B428BB" w:rsidRPr="00316270" w14:paraId="057D5EE3" w14:textId="77777777" w:rsidTr="006E4BB1">
        <w:trPr>
          <w:trHeight w:val="798"/>
          <w:jc w:val="center"/>
        </w:trPr>
        <w:tc>
          <w:tcPr>
            <w:tcW w:w="2967" w:type="dxa"/>
            <w:vMerge w:val="restart"/>
            <w:shd w:val="clear" w:color="auto" w:fill="95B3D7" w:themeFill="accent1" w:themeFillTint="99"/>
            <w:vAlign w:val="center"/>
            <w:hideMark/>
          </w:tcPr>
          <w:p w14:paraId="1D6E3BD1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CZ/A</w:t>
            </w:r>
          </w:p>
        </w:tc>
        <w:tc>
          <w:tcPr>
            <w:tcW w:w="5832" w:type="dxa"/>
            <w:vMerge w:val="restart"/>
            <w:shd w:val="clear" w:color="auto" w:fill="95B3D7" w:themeFill="accent1" w:themeFillTint="99"/>
            <w:vAlign w:val="center"/>
            <w:hideMark/>
          </w:tcPr>
          <w:p w14:paraId="28F97800" w14:textId="6ACF7FAC" w:rsidR="00B428BB" w:rsidRPr="00316270" w:rsidRDefault="00232C7D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(Cizí zdroje + Požadovaná půjčka SFŽP) / (Aktiva + Hodnota projektu</w:t>
            </w:r>
          </w:p>
        </w:tc>
      </w:tr>
      <w:tr w:rsidR="00B428BB" w:rsidRPr="00316270" w14:paraId="185A2981" w14:textId="77777777" w:rsidTr="006E4BB1">
        <w:trPr>
          <w:trHeight w:val="506"/>
          <w:jc w:val="center"/>
        </w:trPr>
        <w:tc>
          <w:tcPr>
            <w:tcW w:w="2967" w:type="dxa"/>
            <w:vMerge/>
            <w:shd w:val="clear" w:color="auto" w:fill="95B3D7" w:themeFill="accent1" w:themeFillTint="99"/>
            <w:vAlign w:val="center"/>
            <w:hideMark/>
          </w:tcPr>
          <w:p w14:paraId="35ADD77F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  <w:tc>
          <w:tcPr>
            <w:tcW w:w="5832" w:type="dxa"/>
            <w:vMerge/>
            <w:shd w:val="clear" w:color="auto" w:fill="95B3D7" w:themeFill="accent1" w:themeFillTint="99"/>
            <w:vAlign w:val="center"/>
            <w:hideMark/>
          </w:tcPr>
          <w:p w14:paraId="69310358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</w:tbl>
    <w:p w14:paraId="0B199877" w14:textId="548AE2C1" w:rsidR="005932A8" w:rsidRDefault="005932A8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344DA7A4" w14:textId="77777777" w:rsidR="00934717" w:rsidRPr="00316270" w:rsidRDefault="00934717" w:rsidP="00934717">
      <w:pPr>
        <w:pStyle w:val="Odstavecseseznamem"/>
        <w:spacing w:before="120" w:after="120" w:line="240" w:lineRule="auto"/>
        <w:rPr>
          <w:rFonts w:cs="Segoe UI"/>
          <w:b/>
          <w:u w:val="single"/>
        </w:rPr>
      </w:pPr>
      <w:r w:rsidRPr="0066546D">
        <w:rPr>
          <w:rFonts w:cs="Segoe UI"/>
          <w:b/>
          <w:u w:val="single"/>
        </w:rPr>
        <w:t>Kategorie hodnocení a dílčí ukazatele u podnikatelských a ostatních subjektů</w:t>
      </w:r>
      <w:r>
        <w:rPr>
          <w:rFonts w:cs="Segoe UI"/>
          <w:b/>
          <w:u w:val="single"/>
        </w:rPr>
        <w:t xml:space="preserve"> </w:t>
      </w:r>
      <w:r w:rsidRPr="00316270">
        <w:rPr>
          <w:rFonts w:cs="Segoe UI"/>
          <w:b/>
          <w:u w:val="single"/>
        </w:rPr>
        <w:t xml:space="preserve"> </w:t>
      </w:r>
    </w:p>
    <w:p w14:paraId="2225156C" w14:textId="77777777" w:rsidR="00934717" w:rsidRPr="00316270" w:rsidRDefault="00934717" w:rsidP="00934717">
      <w:pPr>
        <w:pStyle w:val="Odstavecseseznamem"/>
        <w:spacing w:before="120" w:after="120" w:line="240" w:lineRule="auto"/>
        <w:rPr>
          <w:rFonts w:cs="Segoe UI"/>
          <w:b/>
          <w:u w:val="single"/>
        </w:rPr>
      </w:pPr>
    </w:p>
    <w:tbl>
      <w:tblPr>
        <w:tblW w:w="8779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3116"/>
        <w:gridCol w:w="3972"/>
      </w:tblGrid>
      <w:tr w:rsidR="00934717" w:rsidRPr="00316270" w14:paraId="2F2EA44B" w14:textId="77777777" w:rsidTr="009D227F">
        <w:trPr>
          <w:trHeight w:val="506"/>
          <w:jc w:val="center"/>
        </w:trPr>
        <w:tc>
          <w:tcPr>
            <w:tcW w:w="1691" w:type="dxa"/>
            <w:vMerge w:val="restart"/>
            <w:shd w:val="clear" w:color="auto" w:fill="365F91" w:themeFill="accent1" w:themeFillShade="BF"/>
            <w:vAlign w:val="center"/>
            <w:hideMark/>
          </w:tcPr>
          <w:p w14:paraId="03B397B8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</w:rPr>
            </w:pPr>
            <w:r w:rsidRPr="00316270">
              <w:rPr>
                <w:rFonts w:cs="Segoe UI"/>
                <w:b/>
                <w:bCs/>
              </w:rPr>
              <w:t>Kategorie</w:t>
            </w:r>
          </w:p>
        </w:tc>
        <w:tc>
          <w:tcPr>
            <w:tcW w:w="3116" w:type="dxa"/>
            <w:vMerge w:val="restart"/>
            <w:shd w:val="clear" w:color="auto" w:fill="365F91" w:themeFill="accent1" w:themeFillShade="BF"/>
            <w:vAlign w:val="center"/>
            <w:hideMark/>
          </w:tcPr>
          <w:p w14:paraId="1BD02C43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</w:rPr>
            </w:pPr>
            <w:r w:rsidRPr="00316270">
              <w:rPr>
                <w:rFonts w:cs="Segoe UI"/>
                <w:b/>
                <w:bCs/>
              </w:rPr>
              <w:t>Dílčí ukazatel</w:t>
            </w:r>
          </w:p>
        </w:tc>
        <w:tc>
          <w:tcPr>
            <w:tcW w:w="3972" w:type="dxa"/>
            <w:vMerge w:val="restart"/>
            <w:shd w:val="clear" w:color="auto" w:fill="365F91" w:themeFill="accent1" w:themeFillShade="BF"/>
            <w:vAlign w:val="center"/>
            <w:hideMark/>
          </w:tcPr>
          <w:p w14:paraId="1C3EC595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</w:rPr>
            </w:pPr>
            <w:r w:rsidRPr="00316270">
              <w:rPr>
                <w:rFonts w:cs="Segoe UI"/>
                <w:b/>
                <w:color w:val="000000"/>
              </w:rPr>
              <w:t xml:space="preserve"> Vzorec výpočtu</w:t>
            </w:r>
            <w:r w:rsidRPr="00316270">
              <w:rPr>
                <w:rFonts w:cs="Segoe UI"/>
                <w:b/>
                <w:bCs/>
              </w:rPr>
              <w:t xml:space="preserve"> </w:t>
            </w:r>
          </w:p>
        </w:tc>
      </w:tr>
      <w:tr w:rsidR="00934717" w:rsidRPr="00316270" w14:paraId="57A87FCE" w14:textId="77777777" w:rsidTr="009D227F">
        <w:trPr>
          <w:trHeight w:val="506"/>
          <w:jc w:val="center"/>
        </w:trPr>
        <w:tc>
          <w:tcPr>
            <w:tcW w:w="1691" w:type="dxa"/>
            <w:vMerge/>
            <w:shd w:val="clear" w:color="auto" w:fill="365F91" w:themeFill="accent1" w:themeFillShade="BF"/>
            <w:vAlign w:val="center"/>
            <w:hideMark/>
          </w:tcPr>
          <w:p w14:paraId="2B61AFCF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</w:rPr>
            </w:pPr>
          </w:p>
        </w:tc>
        <w:tc>
          <w:tcPr>
            <w:tcW w:w="3116" w:type="dxa"/>
            <w:vMerge/>
            <w:shd w:val="clear" w:color="auto" w:fill="365F91" w:themeFill="accent1" w:themeFillShade="BF"/>
            <w:vAlign w:val="center"/>
            <w:hideMark/>
          </w:tcPr>
          <w:p w14:paraId="5DA25484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</w:rPr>
            </w:pPr>
          </w:p>
        </w:tc>
        <w:tc>
          <w:tcPr>
            <w:tcW w:w="3972" w:type="dxa"/>
            <w:vMerge/>
            <w:shd w:val="clear" w:color="auto" w:fill="365F91" w:themeFill="accent1" w:themeFillShade="BF"/>
            <w:vAlign w:val="center"/>
            <w:hideMark/>
          </w:tcPr>
          <w:p w14:paraId="37912E43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</w:rPr>
            </w:pPr>
          </w:p>
        </w:tc>
      </w:tr>
      <w:tr w:rsidR="00934717" w:rsidRPr="00316270" w14:paraId="169D6E51" w14:textId="77777777" w:rsidTr="009D227F">
        <w:trPr>
          <w:trHeight w:val="195"/>
          <w:jc w:val="center"/>
        </w:trPr>
        <w:tc>
          <w:tcPr>
            <w:tcW w:w="1691" w:type="dxa"/>
            <w:vMerge w:val="restart"/>
            <w:shd w:val="clear" w:color="auto" w:fill="95B3D7" w:themeFill="accent1" w:themeFillTint="99"/>
            <w:vAlign w:val="center"/>
            <w:hideMark/>
          </w:tcPr>
          <w:p w14:paraId="763BD5E7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316270">
              <w:rPr>
                <w:rFonts w:cs="Segoe UI"/>
                <w:b/>
                <w:bCs/>
                <w:color w:val="000000"/>
              </w:rPr>
              <w:t>Tržní velikost</w:t>
            </w:r>
          </w:p>
        </w:tc>
        <w:tc>
          <w:tcPr>
            <w:tcW w:w="3116" w:type="dxa"/>
            <w:shd w:val="clear" w:color="auto" w:fill="95B3D7" w:themeFill="accent1" w:themeFillTint="99"/>
            <w:vAlign w:val="center"/>
            <w:hideMark/>
          </w:tcPr>
          <w:p w14:paraId="7089F77A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Výnosy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  <w:hideMark/>
          </w:tcPr>
          <w:p w14:paraId="77E7E732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Celkové výnosy</w:t>
            </w:r>
          </w:p>
        </w:tc>
      </w:tr>
      <w:tr w:rsidR="00934717" w:rsidRPr="00316270" w14:paraId="4FBFFCFF" w14:textId="77777777" w:rsidTr="009D227F">
        <w:trPr>
          <w:trHeight w:val="195"/>
          <w:jc w:val="center"/>
        </w:trPr>
        <w:tc>
          <w:tcPr>
            <w:tcW w:w="1691" w:type="dxa"/>
            <w:vMerge/>
            <w:shd w:val="clear" w:color="auto" w:fill="95B3D7" w:themeFill="accent1" w:themeFillTint="99"/>
            <w:vAlign w:val="center"/>
            <w:hideMark/>
          </w:tcPr>
          <w:p w14:paraId="309DC45C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shd w:val="clear" w:color="auto" w:fill="95B3D7" w:themeFill="accent1" w:themeFillTint="99"/>
            <w:vAlign w:val="center"/>
            <w:hideMark/>
          </w:tcPr>
          <w:p w14:paraId="2F82DA5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Bilanční suma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  <w:hideMark/>
          </w:tcPr>
          <w:p w14:paraId="49FED1B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Celková aktiva</w:t>
            </w:r>
          </w:p>
        </w:tc>
      </w:tr>
      <w:tr w:rsidR="00934717" w:rsidRPr="00316270" w14:paraId="0EA24433" w14:textId="77777777" w:rsidTr="009D227F">
        <w:trPr>
          <w:trHeight w:val="418"/>
          <w:jc w:val="center"/>
        </w:trPr>
        <w:tc>
          <w:tcPr>
            <w:tcW w:w="1691" w:type="dxa"/>
            <w:shd w:val="clear" w:color="auto" w:fill="95B3D7" w:themeFill="accent1" w:themeFillTint="99"/>
            <w:vAlign w:val="center"/>
            <w:hideMark/>
          </w:tcPr>
          <w:p w14:paraId="1359A03A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316270">
              <w:rPr>
                <w:rFonts w:cs="Segoe UI"/>
                <w:b/>
                <w:bCs/>
                <w:color w:val="000000"/>
              </w:rPr>
              <w:t>Výnosnost a účinnost</w:t>
            </w:r>
          </w:p>
        </w:tc>
        <w:tc>
          <w:tcPr>
            <w:tcW w:w="3116" w:type="dxa"/>
            <w:shd w:val="clear" w:color="auto" w:fill="95B3D7" w:themeFill="accent1" w:themeFillTint="99"/>
            <w:vAlign w:val="center"/>
            <w:hideMark/>
          </w:tcPr>
          <w:p w14:paraId="70647F8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EBITDA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  <w:hideMark/>
          </w:tcPr>
          <w:p w14:paraId="5A7D2932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(HV před zdaněním + odpisy dlouhodobého nehmotného a hmotného majetku + nákladové úroky) / celkové výnosy</w:t>
            </w:r>
          </w:p>
        </w:tc>
      </w:tr>
      <w:tr w:rsidR="00934717" w:rsidRPr="00316270" w14:paraId="0E445E05" w14:textId="77777777" w:rsidTr="009D227F">
        <w:trPr>
          <w:trHeight w:val="1598"/>
          <w:jc w:val="center"/>
        </w:trPr>
        <w:tc>
          <w:tcPr>
            <w:tcW w:w="1691" w:type="dxa"/>
            <w:vMerge w:val="restart"/>
            <w:shd w:val="clear" w:color="auto" w:fill="95B3D7" w:themeFill="accent1" w:themeFillTint="99"/>
            <w:vAlign w:val="center"/>
            <w:hideMark/>
          </w:tcPr>
          <w:p w14:paraId="021F14A0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316270">
              <w:rPr>
                <w:rFonts w:cs="Segoe UI"/>
                <w:b/>
                <w:bCs/>
                <w:color w:val="000000"/>
              </w:rPr>
              <w:t>Finanční páka a likvidita</w:t>
            </w:r>
          </w:p>
        </w:tc>
        <w:tc>
          <w:tcPr>
            <w:tcW w:w="3116" w:type="dxa"/>
            <w:shd w:val="clear" w:color="auto" w:fill="95B3D7" w:themeFill="accent1" w:themeFillTint="99"/>
            <w:vAlign w:val="center"/>
            <w:hideMark/>
          </w:tcPr>
          <w:p w14:paraId="7D66E529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  <w:lang w:val="en-US"/>
              </w:rPr>
              <w:t>Debt service coverage ratio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  <w:hideMark/>
          </w:tcPr>
          <w:p w14:paraId="6F72481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 xml:space="preserve"> (HV za účetní období + odpisy dlouhodobého nehmotného a hmotného majetku + nákladové úroky) / (maximální úhrn ročních splátek v letech splácení půjčky+ nákladové úroky)</w:t>
            </w:r>
          </w:p>
        </w:tc>
      </w:tr>
      <w:tr w:rsidR="00934717" w:rsidRPr="00316270" w14:paraId="7990543D" w14:textId="77777777" w:rsidTr="009D227F">
        <w:trPr>
          <w:trHeight w:val="506"/>
          <w:jc w:val="center"/>
        </w:trPr>
        <w:tc>
          <w:tcPr>
            <w:tcW w:w="1691" w:type="dxa"/>
            <w:vMerge/>
            <w:shd w:val="clear" w:color="auto" w:fill="95B3D7" w:themeFill="accent1" w:themeFillTint="99"/>
            <w:vAlign w:val="center"/>
            <w:hideMark/>
          </w:tcPr>
          <w:p w14:paraId="6FD79A30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vMerge w:val="restart"/>
            <w:shd w:val="clear" w:color="auto" w:fill="95B3D7" w:themeFill="accent1" w:themeFillTint="99"/>
            <w:vAlign w:val="center"/>
            <w:hideMark/>
          </w:tcPr>
          <w:p w14:paraId="3D43225E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Běžná likvidita</w:t>
            </w:r>
          </w:p>
        </w:tc>
        <w:tc>
          <w:tcPr>
            <w:tcW w:w="3972" w:type="dxa"/>
            <w:vMerge w:val="restart"/>
            <w:shd w:val="clear" w:color="auto" w:fill="95B3D7" w:themeFill="accent1" w:themeFillTint="99"/>
            <w:vAlign w:val="center"/>
            <w:hideMark/>
          </w:tcPr>
          <w:p w14:paraId="538A3E99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bCs/>
                <w:color w:val="000000"/>
              </w:rPr>
              <w:t>Oběžná aktiva / krátkodobé závazky</w:t>
            </w:r>
          </w:p>
        </w:tc>
      </w:tr>
      <w:tr w:rsidR="00934717" w:rsidRPr="00316270" w14:paraId="3B3CF057" w14:textId="77777777" w:rsidTr="009D227F">
        <w:trPr>
          <w:trHeight w:val="506"/>
          <w:jc w:val="center"/>
        </w:trPr>
        <w:tc>
          <w:tcPr>
            <w:tcW w:w="1691" w:type="dxa"/>
            <w:vMerge/>
            <w:vAlign w:val="center"/>
            <w:hideMark/>
          </w:tcPr>
          <w:p w14:paraId="30FC8E24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14:paraId="63E5B6CB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  <w:tc>
          <w:tcPr>
            <w:tcW w:w="3972" w:type="dxa"/>
            <w:vMerge/>
            <w:vAlign w:val="center"/>
            <w:hideMark/>
          </w:tcPr>
          <w:p w14:paraId="7EA28107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934717" w:rsidRPr="00316270" w14:paraId="4911554E" w14:textId="77777777" w:rsidTr="009D227F">
        <w:trPr>
          <w:trHeight w:val="506"/>
          <w:jc w:val="center"/>
        </w:trPr>
        <w:tc>
          <w:tcPr>
            <w:tcW w:w="1691" w:type="dxa"/>
            <w:vMerge/>
            <w:vAlign w:val="center"/>
            <w:hideMark/>
          </w:tcPr>
          <w:p w14:paraId="2BDD0AC1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vMerge/>
            <w:vAlign w:val="center"/>
            <w:hideMark/>
          </w:tcPr>
          <w:p w14:paraId="59F25D16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  <w:tc>
          <w:tcPr>
            <w:tcW w:w="3972" w:type="dxa"/>
            <w:vMerge/>
            <w:vAlign w:val="center"/>
            <w:hideMark/>
          </w:tcPr>
          <w:p w14:paraId="41EA0011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color w:val="000000"/>
              </w:rPr>
            </w:pPr>
          </w:p>
        </w:tc>
      </w:tr>
      <w:tr w:rsidR="00934717" w:rsidRPr="00316270" w14:paraId="23F898AE" w14:textId="77777777" w:rsidTr="009D227F">
        <w:trPr>
          <w:trHeight w:val="279"/>
          <w:jc w:val="center"/>
        </w:trPr>
        <w:tc>
          <w:tcPr>
            <w:tcW w:w="1691" w:type="dxa"/>
            <w:vMerge/>
            <w:vAlign w:val="center"/>
            <w:hideMark/>
          </w:tcPr>
          <w:p w14:paraId="390275F7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shd w:val="clear" w:color="auto" w:fill="95B3D7" w:themeFill="accent1" w:themeFillTint="99"/>
            <w:vAlign w:val="center"/>
            <w:hideMark/>
          </w:tcPr>
          <w:p w14:paraId="2E745C6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Koeficient samofinancování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  <w:hideMark/>
          </w:tcPr>
          <w:p w14:paraId="41097C76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bCs/>
                <w:color w:val="000000"/>
              </w:rPr>
              <w:t xml:space="preserve"> Vlastní kapitál / Celková aktiva</w:t>
            </w:r>
          </w:p>
        </w:tc>
      </w:tr>
      <w:tr w:rsidR="00934717" w:rsidRPr="00316270" w14:paraId="4A872006" w14:textId="77777777" w:rsidTr="009D227F">
        <w:trPr>
          <w:trHeight w:val="1047"/>
          <w:jc w:val="center"/>
        </w:trPr>
        <w:tc>
          <w:tcPr>
            <w:tcW w:w="1691" w:type="dxa"/>
            <w:vMerge w:val="restart"/>
            <w:shd w:val="clear" w:color="auto" w:fill="95B3D7" w:themeFill="accent1" w:themeFillTint="99"/>
            <w:vAlign w:val="center"/>
          </w:tcPr>
          <w:p w14:paraId="13060E93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5A63F3">
              <w:rPr>
                <w:rFonts w:cs="Segoe UI"/>
                <w:b/>
                <w:bCs/>
                <w:color w:val="000000"/>
              </w:rPr>
              <w:lastRenderedPageBreak/>
              <w:t>Projek</w:t>
            </w:r>
            <w:r>
              <w:rPr>
                <w:rFonts w:cs="Segoe UI"/>
                <w:b/>
                <w:bCs/>
                <w:color w:val="000000"/>
              </w:rPr>
              <w:t>t</w:t>
            </w:r>
          </w:p>
        </w:tc>
        <w:tc>
          <w:tcPr>
            <w:tcW w:w="3116" w:type="dxa"/>
            <w:shd w:val="clear" w:color="auto" w:fill="95B3D7" w:themeFill="accent1" w:themeFillTint="99"/>
            <w:vAlign w:val="center"/>
          </w:tcPr>
          <w:p w14:paraId="6A69DC31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Výnosnost projektu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</w:tcPr>
          <w:p w14:paraId="7A3125E1" w14:textId="77777777" w:rsidR="00934717" w:rsidRPr="003D6D19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(Současná hodnota příjmů – Současná</w:t>
            </w:r>
            <w:r w:rsidRPr="003D6D19">
              <w:rPr>
                <w:rFonts w:cs="Segoe UI"/>
                <w:color w:val="000000"/>
              </w:rPr>
              <w:br/>
              <w:t>hodnota nákladů) / Současná hodnota</w:t>
            </w:r>
            <w:r w:rsidRPr="003D6D19">
              <w:rPr>
                <w:rFonts w:cs="Segoe UI"/>
                <w:color w:val="000000"/>
              </w:rPr>
              <w:br/>
              <w:t>nákladů</w:t>
            </w:r>
          </w:p>
        </w:tc>
      </w:tr>
      <w:tr w:rsidR="00934717" w:rsidRPr="00316270" w14:paraId="7401958A" w14:textId="77777777" w:rsidTr="009D227F">
        <w:trPr>
          <w:trHeight w:val="279"/>
          <w:jc w:val="center"/>
        </w:trPr>
        <w:tc>
          <w:tcPr>
            <w:tcW w:w="1691" w:type="dxa"/>
            <w:vMerge/>
            <w:shd w:val="clear" w:color="auto" w:fill="95B3D7" w:themeFill="accent1" w:themeFillTint="99"/>
            <w:vAlign w:val="center"/>
          </w:tcPr>
          <w:p w14:paraId="3CE4669D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shd w:val="clear" w:color="auto" w:fill="95B3D7" w:themeFill="accent1" w:themeFillTint="99"/>
            <w:vAlign w:val="center"/>
          </w:tcPr>
          <w:p w14:paraId="2141661C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Vnitřní výnosové procento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</w:tcPr>
          <w:p w14:paraId="64F7082D" w14:textId="77777777" w:rsidR="00934717" w:rsidRPr="003D6D19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Vnitřní výnosové procento</w:t>
            </w:r>
          </w:p>
        </w:tc>
      </w:tr>
      <w:tr w:rsidR="00934717" w:rsidRPr="00316270" w14:paraId="5D7A53CF" w14:textId="77777777" w:rsidTr="009D227F">
        <w:trPr>
          <w:trHeight w:val="279"/>
          <w:jc w:val="center"/>
        </w:trPr>
        <w:tc>
          <w:tcPr>
            <w:tcW w:w="1691" w:type="dxa"/>
            <w:vMerge/>
            <w:shd w:val="clear" w:color="auto" w:fill="95B3D7" w:themeFill="accent1" w:themeFillTint="99"/>
            <w:vAlign w:val="center"/>
          </w:tcPr>
          <w:p w14:paraId="7BD2BE40" w14:textId="77777777" w:rsidR="00934717" w:rsidRPr="00316270" w:rsidRDefault="00934717" w:rsidP="00545082">
            <w:pPr>
              <w:spacing w:before="120" w:after="120" w:line="240" w:lineRule="auto"/>
              <w:jc w:val="left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3116" w:type="dxa"/>
            <w:shd w:val="clear" w:color="auto" w:fill="95B3D7" w:themeFill="accent1" w:themeFillTint="99"/>
            <w:vAlign w:val="center"/>
          </w:tcPr>
          <w:p w14:paraId="5ED98579" w14:textId="77777777" w:rsidR="00934717" w:rsidRPr="00316270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Návratnost</w:t>
            </w:r>
          </w:p>
        </w:tc>
        <w:tc>
          <w:tcPr>
            <w:tcW w:w="3972" w:type="dxa"/>
            <w:shd w:val="clear" w:color="auto" w:fill="95B3D7" w:themeFill="accent1" w:themeFillTint="99"/>
            <w:vAlign w:val="center"/>
          </w:tcPr>
          <w:p w14:paraId="59E26645" w14:textId="77777777" w:rsidR="00934717" w:rsidRPr="003D6D19" w:rsidRDefault="00934717" w:rsidP="00545082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D6D19">
              <w:rPr>
                <w:rFonts w:cs="Segoe UI"/>
                <w:color w:val="000000"/>
              </w:rPr>
              <w:t>Diskontovaná doba návratnosti / Životnost</w:t>
            </w:r>
          </w:p>
        </w:tc>
      </w:tr>
    </w:tbl>
    <w:p w14:paraId="38EE17DF" w14:textId="77777777" w:rsidR="00934717" w:rsidRPr="00316270" w:rsidRDefault="00934717" w:rsidP="00934717">
      <w:pPr>
        <w:spacing w:before="120" w:after="120" w:line="240" w:lineRule="auto"/>
        <w:rPr>
          <w:rFonts w:cs="Segoe UI"/>
        </w:rPr>
      </w:pPr>
    </w:p>
    <w:p w14:paraId="2116A087" w14:textId="77777777" w:rsidR="00934717" w:rsidRPr="00316270" w:rsidRDefault="00934717" w:rsidP="00934717">
      <w:pPr>
        <w:spacing w:before="120" w:after="120" w:line="240" w:lineRule="auto"/>
        <w:rPr>
          <w:rFonts w:cs="Segoe UI"/>
        </w:rPr>
      </w:pPr>
      <w:r w:rsidRPr="00316270">
        <w:rPr>
          <w:rFonts w:cs="Segoe UI"/>
        </w:rPr>
        <w:t>Každému dílčímu ukazateli bude přiřazeno hodnocení (rating) na stupnici od 1 do 5 (1 nejlepší, 5 nejhorší), podle výsledku výpočtu.</w:t>
      </w:r>
    </w:p>
    <w:p w14:paraId="7C191EB3" w14:textId="77777777" w:rsidR="00934717" w:rsidRDefault="00934717" w:rsidP="00934717">
      <w:pPr>
        <w:spacing w:before="120" w:after="120" w:line="240" w:lineRule="auto"/>
        <w:rPr>
          <w:rFonts w:cs="Segoe UI"/>
        </w:rPr>
      </w:pPr>
      <w:r w:rsidRPr="00316270">
        <w:rPr>
          <w:rFonts w:cs="Segoe UI"/>
        </w:rPr>
        <w:t>Dle poměrů jednotlivých dílčích ukazatelů a jednotlivých kategorií bude vypočítán výsledný rating, na jehož základě bude příjemce zařazen do kategorií úvěrové způsobilosti.</w:t>
      </w:r>
    </w:p>
    <w:p w14:paraId="6ABBBA0D" w14:textId="326B668B" w:rsidR="00934717" w:rsidRPr="00316270" w:rsidRDefault="00934717" w:rsidP="00934717">
      <w:pPr>
        <w:spacing w:before="120" w:after="120" w:line="240" w:lineRule="auto"/>
        <w:rPr>
          <w:rFonts w:cs="Segoe UI"/>
        </w:rPr>
      </w:pPr>
      <w:r w:rsidRPr="0066546D">
        <w:rPr>
          <w:rFonts w:cs="Segoe UI"/>
        </w:rPr>
        <w:t xml:space="preserve">Při hodnocení úvěrové způsobilosti bude </w:t>
      </w:r>
      <w:r w:rsidR="000C2450">
        <w:rPr>
          <w:rFonts w:cs="Segoe UI"/>
        </w:rPr>
        <w:t>posouzeno historické i plánované (po dobu splácení) cashflow žadatele. Negativní vyhodnocení tohoto kritéria může znamenat zamítnutí žádosti.</w:t>
      </w:r>
    </w:p>
    <w:p w14:paraId="6F29DE9A" w14:textId="77777777" w:rsidR="00934717" w:rsidRPr="00316270" w:rsidRDefault="00934717" w:rsidP="00F70B8C">
      <w:pPr>
        <w:spacing w:before="120" w:after="120" w:line="240" w:lineRule="auto"/>
        <w:rPr>
          <w:rFonts w:cs="Segoe UI"/>
          <w:b/>
          <w:u w:val="single"/>
        </w:rPr>
      </w:pPr>
    </w:p>
    <w:p w14:paraId="0163B591" w14:textId="77777777" w:rsidR="00E07723" w:rsidRPr="00316270" w:rsidRDefault="00E07723" w:rsidP="006E4BB1">
      <w:pPr>
        <w:pStyle w:val="Odstavecseseznamem"/>
        <w:spacing w:before="120" w:after="120" w:line="240" w:lineRule="auto"/>
        <w:rPr>
          <w:rFonts w:cs="Segoe UI"/>
          <w:b/>
          <w:u w:val="single"/>
        </w:rPr>
      </w:pPr>
      <w:r w:rsidRPr="00316270">
        <w:rPr>
          <w:rFonts w:cs="Segoe UI"/>
          <w:b/>
          <w:u w:val="single"/>
        </w:rPr>
        <w:t xml:space="preserve">Výsledek posouzení úvěrové způsobilost žadatele a </w:t>
      </w:r>
      <w:r w:rsidR="005932A8" w:rsidRPr="00316270">
        <w:rPr>
          <w:rFonts w:cs="Segoe UI"/>
          <w:b/>
          <w:u w:val="single"/>
        </w:rPr>
        <w:t>ekonomiky</w:t>
      </w:r>
      <w:r w:rsidRPr="00316270">
        <w:rPr>
          <w:rFonts w:cs="Segoe UI"/>
          <w:b/>
          <w:u w:val="single"/>
        </w:rPr>
        <w:t xml:space="preserve"> projektu</w:t>
      </w:r>
    </w:p>
    <w:tbl>
      <w:tblPr>
        <w:tblW w:w="8673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5848"/>
      </w:tblGrid>
      <w:tr w:rsidR="00B428BB" w:rsidRPr="00316270" w14:paraId="19935830" w14:textId="77777777" w:rsidTr="006E4BB1">
        <w:trPr>
          <w:trHeight w:val="705"/>
          <w:jc w:val="center"/>
        </w:trPr>
        <w:tc>
          <w:tcPr>
            <w:tcW w:w="2825" w:type="dxa"/>
            <w:shd w:val="clear" w:color="auto" w:fill="365F91" w:themeFill="accent1" w:themeFillShade="BF"/>
            <w:vAlign w:val="center"/>
            <w:hideMark/>
          </w:tcPr>
          <w:p w14:paraId="544B2063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b/>
                <w:color w:val="000000"/>
              </w:rPr>
            </w:pPr>
            <w:r w:rsidRPr="00316270">
              <w:rPr>
                <w:rFonts w:cs="Segoe UI"/>
                <w:b/>
                <w:color w:val="000000"/>
              </w:rPr>
              <w:t>Úvěrová způsobilost</w:t>
            </w:r>
          </w:p>
        </w:tc>
        <w:tc>
          <w:tcPr>
            <w:tcW w:w="5848" w:type="dxa"/>
            <w:shd w:val="clear" w:color="auto" w:fill="365F91" w:themeFill="accent1" w:themeFillShade="BF"/>
            <w:vAlign w:val="center"/>
            <w:hideMark/>
          </w:tcPr>
          <w:p w14:paraId="612668E7" w14:textId="77777777" w:rsidR="00B428BB" w:rsidRPr="00316270" w:rsidRDefault="00B428BB" w:rsidP="006E4BB1">
            <w:pPr>
              <w:spacing w:before="120" w:after="120" w:line="240" w:lineRule="auto"/>
              <w:jc w:val="center"/>
              <w:rPr>
                <w:rFonts w:cs="Segoe UI"/>
                <w:b/>
                <w:color w:val="000000"/>
              </w:rPr>
            </w:pPr>
            <w:r w:rsidRPr="00316270">
              <w:rPr>
                <w:rFonts w:cs="Segoe UI"/>
                <w:b/>
                <w:color w:val="000000"/>
              </w:rPr>
              <w:t>Závěr o poskytnutí půjčky</w:t>
            </w:r>
          </w:p>
        </w:tc>
      </w:tr>
      <w:tr w:rsidR="00B428BB" w:rsidRPr="00316270" w14:paraId="37F12C7E" w14:textId="77777777" w:rsidTr="006E4BB1">
        <w:trPr>
          <w:trHeight w:val="506"/>
          <w:jc w:val="center"/>
        </w:trPr>
        <w:tc>
          <w:tcPr>
            <w:tcW w:w="2825" w:type="dxa"/>
            <w:vMerge w:val="restart"/>
            <w:shd w:val="clear" w:color="auto" w:fill="95B3D7" w:themeFill="accent1" w:themeFillTint="99"/>
            <w:vAlign w:val="center"/>
            <w:hideMark/>
          </w:tcPr>
          <w:p w14:paraId="44AADCFD" w14:textId="77777777" w:rsidR="00B428BB" w:rsidRPr="0064242E" w:rsidRDefault="00B428BB" w:rsidP="00F70B8C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64242E">
              <w:rPr>
                <w:rFonts w:cs="Segoe UI"/>
                <w:b/>
                <w:bCs/>
                <w:color w:val="000000"/>
              </w:rPr>
              <w:t>pozitivní/1</w:t>
            </w:r>
          </w:p>
        </w:tc>
        <w:tc>
          <w:tcPr>
            <w:tcW w:w="5848" w:type="dxa"/>
            <w:vMerge w:val="restart"/>
            <w:shd w:val="clear" w:color="auto" w:fill="95B3D7" w:themeFill="accent1" w:themeFillTint="99"/>
            <w:vAlign w:val="center"/>
            <w:hideMark/>
          </w:tcPr>
          <w:p w14:paraId="69ECAE8C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Poskytnutí půjčky lze doporučit, je předpoklad splácení půjčky.</w:t>
            </w:r>
          </w:p>
        </w:tc>
      </w:tr>
      <w:tr w:rsidR="00B428BB" w:rsidRPr="00316270" w14:paraId="4338948B" w14:textId="77777777" w:rsidTr="006E4BB1">
        <w:trPr>
          <w:trHeight w:val="506"/>
          <w:jc w:val="center"/>
        </w:trPr>
        <w:tc>
          <w:tcPr>
            <w:tcW w:w="2825" w:type="dxa"/>
            <w:vMerge/>
            <w:shd w:val="clear" w:color="auto" w:fill="95B3D7" w:themeFill="accent1" w:themeFillTint="99"/>
            <w:vAlign w:val="center"/>
            <w:hideMark/>
          </w:tcPr>
          <w:p w14:paraId="3A44AC60" w14:textId="77777777" w:rsidR="00B428BB" w:rsidRPr="0064242E" w:rsidRDefault="00B428BB" w:rsidP="00F70B8C">
            <w:pPr>
              <w:spacing w:before="120" w:after="120" w:line="240" w:lineRule="auto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5848" w:type="dxa"/>
            <w:vMerge/>
            <w:shd w:val="clear" w:color="auto" w:fill="95B3D7" w:themeFill="accent1" w:themeFillTint="99"/>
            <w:vAlign w:val="center"/>
            <w:hideMark/>
          </w:tcPr>
          <w:p w14:paraId="7795A71A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  <w:tr w:rsidR="00B428BB" w:rsidRPr="00316270" w14:paraId="71E2736D" w14:textId="77777777" w:rsidTr="006E4BB1">
        <w:trPr>
          <w:trHeight w:val="885"/>
          <w:jc w:val="center"/>
        </w:trPr>
        <w:tc>
          <w:tcPr>
            <w:tcW w:w="2825" w:type="dxa"/>
            <w:vMerge w:val="restart"/>
            <w:shd w:val="clear" w:color="auto" w:fill="95B3D7" w:themeFill="accent1" w:themeFillTint="99"/>
            <w:vAlign w:val="center"/>
            <w:hideMark/>
          </w:tcPr>
          <w:p w14:paraId="6CA77B53" w14:textId="77777777" w:rsidR="00B428BB" w:rsidRPr="0064242E" w:rsidRDefault="00B428BB" w:rsidP="00F70B8C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color w:val="000000"/>
              </w:rPr>
            </w:pPr>
            <w:r w:rsidRPr="0064242E">
              <w:rPr>
                <w:rFonts w:cs="Segoe UI"/>
                <w:b/>
                <w:bCs/>
                <w:color w:val="000000"/>
              </w:rPr>
              <w:t>pozitivní/2</w:t>
            </w:r>
          </w:p>
        </w:tc>
        <w:tc>
          <w:tcPr>
            <w:tcW w:w="5848" w:type="dxa"/>
            <w:vMerge w:val="restart"/>
            <w:shd w:val="clear" w:color="auto" w:fill="95B3D7" w:themeFill="accent1" w:themeFillTint="99"/>
            <w:vAlign w:val="center"/>
            <w:hideMark/>
          </w:tcPr>
          <w:p w14:paraId="70330F64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color w:val="000000"/>
              </w:rPr>
            </w:pPr>
            <w:r w:rsidRPr="00316270">
              <w:rPr>
                <w:rFonts w:cs="Segoe UI"/>
                <w:color w:val="000000"/>
              </w:rPr>
              <w:t>Poskytnutí půjčky lze doporučit, je předpoklad splácení půjčky. Jedná se však o žadatele s nižší úvěrovou způsobilostí. Pro uzavření Smlouvy se SFŽP bude dle Směrnice MŽP v platném znění požadována vyšší hodnota zajištění pohledávky Fondu.</w:t>
            </w:r>
          </w:p>
        </w:tc>
      </w:tr>
      <w:tr w:rsidR="00B428BB" w:rsidRPr="00316270" w14:paraId="5D9D3D8F" w14:textId="77777777" w:rsidTr="006E4BB1">
        <w:trPr>
          <w:trHeight w:val="506"/>
          <w:jc w:val="center"/>
        </w:trPr>
        <w:tc>
          <w:tcPr>
            <w:tcW w:w="2825" w:type="dxa"/>
            <w:vMerge/>
            <w:shd w:val="clear" w:color="auto" w:fill="95B3D7" w:themeFill="accent1" w:themeFillTint="99"/>
            <w:vAlign w:val="center"/>
            <w:hideMark/>
          </w:tcPr>
          <w:p w14:paraId="1772FF6E" w14:textId="77777777" w:rsidR="00B428BB" w:rsidRPr="0064242E" w:rsidRDefault="00B428BB" w:rsidP="00F70B8C">
            <w:pPr>
              <w:spacing w:before="120" w:after="120" w:line="240" w:lineRule="auto"/>
              <w:rPr>
                <w:rFonts w:cs="Segoe UI"/>
                <w:b/>
                <w:bCs/>
                <w:color w:val="000000"/>
              </w:rPr>
            </w:pPr>
          </w:p>
        </w:tc>
        <w:tc>
          <w:tcPr>
            <w:tcW w:w="5848" w:type="dxa"/>
            <w:vMerge/>
            <w:shd w:val="clear" w:color="auto" w:fill="95B3D7" w:themeFill="accent1" w:themeFillTint="99"/>
            <w:vAlign w:val="center"/>
            <w:hideMark/>
          </w:tcPr>
          <w:p w14:paraId="31BDE8EB" w14:textId="77777777" w:rsidR="00B428BB" w:rsidRPr="00316270" w:rsidRDefault="00B428BB" w:rsidP="00F70B8C">
            <w:pPr>
              <w:spacing w:before="120" w:after="120" w:line="240" w:lineRule="auto"/>
              <w:rPr>
                <w:rFonts w:cs="Segoe UI"/>
                <w:color w:val="000000"/>
              </w:rPr>
            </w:pPr>
          </w:p>
        </w:tc>
      </w:tr>
      <w:tr w:rsidR="00B428BB" w:rsidRPr="00316270" w14:paraId="66748ED5" w14:textId="77777777" w:rsidTr="006E4BB1">
        <w:trPr>
          <w:trHeight w:val="495"/>
          <w:jc w:val="center"/>
        </w:trPr>
        <w:tc>
          <w:tcPr>
            <w:tcW w:w="2825" w:type="dxa"/>
            <w:shd w:val="clear" w:color="auto" w:fill="95B3D7" w:themeFill="accent1" w:themeFillTint="99"/>
            <w:vAlign w:val="center"/>
            <w:hideMark/>
          </w:tcPr>
          <w:p w14:paraId="744F8E02" w14:textId="135C32BC" w:rsidR="00B428BB" w:rsidRPr="0064242E" w:rsidRDefault="00480419" w:rsidP="00F70B8C">
            <w:pPr>
              <w:spacing w:before="120" w:after="120" w:line="240" w:lineRule="auto"/>
              <w:jc w:val="center"/>
              <w:rPr>
                <w:rFonts w:cs="Segoe UI"/>
                <w:b/>
                <w:bCs/>
                <w:iCs/>
                <w:color w:val="000000"/>
              </w:rPr>
            </w:pPr>
            <w:r>
              <w:rPr>
                <w:rFonts w:cs="Segoe UI"/>
                <w:b/>
                <w:bCs/>
                <w:iCs/>
                <w:color w:val="000000"/>
              </w:rPr>
              <w:t>n</w:t>
            </w:r>
            <w:r w:rsidRPr="0064242E">
              <w:rPr>
                <w:rFonts w:cs="Segoe UI"/>
                <w:b/>
                <w:bCs/>
                <w:iCs/>
                <w:color w:val="000000"/>
              </w:rPr>
              <w:t>egativní</w:t>
            </w:r>
          </w:p>
        </w:tc>
        <w:tc>
          <w:tcPr>
            <w:tcW w:w="5848" w:type="dxa"/>
            <w:shd w:val="clear" w:color="auto" w:fill="95B3D7" w:themeFill="accent1" w:themeFillTint="99"/>
            <w:vAlign w:val="center"/>
            <w:hideMark/>
          </w:tcPr>
          <w:p w14:paraId="2B07D49F" w14:textId="77777777" w:rsidR="00B428BB" w:rsidRPr="00316270" w:rsidRDefault="00B428BB" w:rsidP="00F70B8C">
            <w:pPr>
              <w:spacing w:before="120" w:after="120" w:line="240" w:lineRule="auto"/>
              <w:jc w:val="center"/>
              <w:rPr>
                <w:rFonts w:cs="Segoe UI"/>
                <w:iCs/>
                <w:color w:val="000000"/>
              </w:rPr>
            </w:pPr>
            <w:r w:rsidRPr="00316270">
              <w:rPr>
                <w:rFonts w:cs="Segoe UI"/>
                <w:iCs/>
                <w:color w:val="000000"/>
              </w:rPr>
              <w:t xml:space="preserve">Poskytnutí půjčky nelze doporučit, riziko splácení půjčky je vysoké. </w:t>
            </w:r>
          </w:p>
        </w:tc>
      </w:tr>
    </w:tbl>
    <w:p w14:paraId="20986EA0" w14:textId="77777777" w:rsidR="00497F97" w:rsidRPr="00316270" w:rsidRDefault="00497F97" w:rsidP="00F70B8C">
      <w:pPr>
        <w:spacing w:before="120" w:after="120" w:line="240" w:lineRule="auto"/>
        <w:rPr>
          <w:rFonts w:cs="Segoe UI"/>
        </w:rPr>
      </w:pPr>
    </w:p>
    <w:sectPr w:rsidR="00497F97" w:rsidRPr="00316270" w:rsidSect="007B099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83DE40" w16cex:dateUtc="2022-07-21T12:16:00Z"/>
  <w16cex:commentExtensible w16cex:durableId="2683DE82" w16cex:dateUtc="2022-07-21T12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F1A34" w14:textId="77777777" w:rsidR="002860F0" w:rsidRDefault="002860F0" w:rsidP="00EF2BB7">
      <w:pPr>
        <w:spacing w:line="240" w:lineRule="auto"/>
      </w:pPr>
      <w:r>
        <w:separator/>
      </w:r>
    </w:p>
  </w:endnote>
  <w:endnote w:type="continuationSeparator" w:id="0">
    <w:p w14:paraId="74B6FDE5" w14:textId="77777777" w:rsidR="002860F0" w:rsidRDefault="002860F0" w:rsidP="00EF2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Verdan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A5863" w14:textId="77777777" w:rsidR="002860F0" w:rsidRDefault="002860F0" w:rsidP="00EF2BB7">
      <w:pPr>
        <w:spacing w:line="240" w:lineRule="auto"/>
      </w:pPr>
      <w:r>
        <w:separator/>
      </w:r>
    </w:p>
  </w:footnote>
  <w:footnote w:type="continuationSeparator" w:id="0">
    <w:p w14:paraId="1752FE1D" w14:textId="77777777" w:rsidR="002860F0" w:rsidRDefault="002860F0" w:rsidP="00EF2B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B1474" w14:textId="2243B74F" w:rsidR="00EF2BB7" w:rsidRPr="00316270" w:rsidRDefault="00EF2BB7" w:rsidP="00287539">
    <w:pPr>
      <w:spacing w:line="240" w:lineRule="auto"/>
      <w:rPr>
        <w:rFonts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60987"/>
    <w:multiLevelType w:val="hybridMultilevel"/>
    <w:tmpl w:val="EF9A87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3"/>
    <w:rsid w:val="0001184F"/>
    <w:rsid w:val="00097618"/>
    <w:rsid w:val="000C2450"/>
    <w:rsid w:val="0010485F"/>
    <w:rsid w:val="001565D1"/>
    <w:rsid w:val="001E4FBB"/>
    <w:rsid w:val="00232C7D"/>
    <w:rsid w:val="0026242C"/>
    <w:rsid w:val="002860F0"/>
    <w:rsid w:val="00287539"/>
    <w:rsid w:val="00292052"/>
    <w:rsid w:val="002C6719"/>
    <w:rsid w:val="002F35DF"/>
    <w:rsid w:val="00316270"/>
    <w:rsid w:val="00336DA8"/>
    <w:rsid w:val="003B5093"/>
    <w:rsid w:val="003D6D19"/>
    <w:rsid w:val="00480419"/>
    <w:rsid w:val="00490013"/>
    <w:rsid w:val="00497F97"/>
    <w:rsid w:val="005116EB"/>
    <w:rsid w:val="00553E04"/>
    <w:rsid w:val="005932A8"/>
    <w:rsid w:val="005A63F3"/>
    <w:rsid w:val="0064242E"/>
    <w:rsid w:val="0066546D"/>
    <w:rsid w:val="006E4BB1"/>
    <w:rsid w:val="00703786"/>
    <w:rsid w:val="00725223"/>
    <w:rsid w:val="007346D1"/>
    <w:rsid w:val="007B0995"/>
    <w:rsid w:val="007C01CB"/>
    <w:rsid w:val="008257A4"/>
    <w:rsid w:val="008B0CF8"/>
    <w:rsid w:val="00923926"/>
    <w:rsid w:val="00934717"/>
    <w:rsid w:val="00956E40"/>
    <w:rsid w:val="009A13C4"/>
    <w:rsid w:val="009D227F"/>
    <w:rsid w:val="00A74D34"/>
    <w:rsid w:val="00AD2A9C"/>
    <w:rsid w:val="00B428BB"/>
    <w:rsid w:val="00B76E21"/>
    <w:rsid w:val="00C76971"/>
    <w:rsid w:val="00CB31C8"/>
    <w:rsid w:val="00CD4A86"/>
    <w:rsid w:val="00D82506"/>
    <w:rsid w:val="00E03340"/>
    <w:rsid w:val="00E07696"/>
    <w:rsid w:val="00E07723"/>
    <w:rsid w:val="00E97D84"/>
    <w:rsid w:val="00EF1AD3"/>
    <w:rsid w:val="00EF2BB7"/>
    <w:rsid w:val="00F70B8C"/>
    <w:rsid w:val="00F93957"/>
    <w:rsid w:val="00FB37DA"/>
    <w:rsid w:val="00FE6F02"/>
    <w:rsid w:val="00FF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C3CCC"/>
  <w15:docId w15:val="{69FDED4F-84B0-4CA5-860E-09F1C336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Text_oboustranné zar"/>
    <w:qFormat/>
    <w:rsid w:val="00E07723"/>
    <w:pPr>
      <w:spacing w:after="0" w:line="288" w:lineRule="auto"/>
      <w:jc w:val="both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205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56E40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2BB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EF2BB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F2BB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F2BB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2BB7"/>
    <w:rPr>
      <w:rFonts w:ascii="Segoe UI" w:eastAsia="Times New Roman" w:hAnsi="Segoe UI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69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697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markedcontent">
    <w:name w:val="markedcontent"/>
    <w:basedOn w:val="Standardnpsmoodstavce"/>
    <w:rsid w:val="0066546D"/>
  </w:style>
  <w:style w:type="paragraph" w:styleId="Revize">
    <w:name w:val="Revision"/>
    <w:hidden/>
    <w:uiPriority w:val="99"/>
    <w:semiHidden/>
    <w:rsid w:val="000C2450"/>
    <w:pPr>
      <w:spacing w:after="0" w:line="240" w:lineRule="auto"/>
    </w:pPr>
    <w:rPr>
      <w:rFonts w:ascii="Segoe UI" w:eastAsia="Times New Roman" w:hAnsi="Segoe UI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252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5223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5223"/>
    <w:rPr>
      <w:rFonts w:ascii="Segoe UI" w:eastAsia="Times New Roman" w:hAnsi="Segoe U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52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5223"/>
    <w:rPr>
      <w:rFonts w:ascii="Segoe UI" w:eastAsia="Times New Roman" w:hAnsi="Segoe U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4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Navratil Lukas</dc:creator>
  <cp:lastModifiedBy>Jan Kochan</cp:lastModifiedBy>
  <cp:revision>2</cp:revision>
  <dcterms:created xsi:type="dcterms:W3CDTF">2022-07-25T12:07:00Z</dcterms:created>
  <dcterms:modified xsi:type="dcterms:W3CDTF">2022-07-25T12:07:00Z</dcterms:modified>
</cp:coreProperties>
</file>